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E45" w:rsidRDefault="005C2E45" w:rsidP="005C2E45">
      <w:pPr>
        <w:spacing w:line="600" w:lineRule="exact"/>
        <w:jc w:val="center"/>
        <w:rPr>
          <w:rFonts w:ascii="宋体" w:hAnsi="宋体" w:cs="宋体"/>
          <w:b/>
          <w:spacing w:val="10"/>
          <w:kern w:val="0"/>
          <w:sz w:val="36"/>
          <w:szCs w:val="36"/>
        </w:rPr>
      </w:pPr>
      <w:r>
        <w:rPr>
          <w:rFonts w:ascii="宋体" w:hAnsi="宋体" w:cs="宋体" w:hint="eastAsia"/>
          <w:b/>
          <w:spacing w:val="10"/>
          <w:kern w:val="0"/>
          <w:sz w:val="36"/>
          <w:szCs w:val="36"/>
        </w:rPr>
        <w:t>辰山园区报废科研家具回收处置评审标准</w:t>
      </w:r>
    </w:p>
    <w:p w:rsidR="008504F9" w:rsidRDefault="008504F9"/>
    <w:tbl>
      <w:tblPr>
        <w:tblStyle w:val="a5"/>
        <w:tblW w:w="0" w:type="auto"/>
        <w:tblLayout w:type="fixed"/>
        <w:tblLook w:val="04A0" w:firstRow="1" w:lastRow="0" w:firstColumn="1" w:lastColumn="0" w:noHBand="0" w:noVBand="1"/>
      </w:tblPr>
      <w:tblGrid>
        <w:gridCol w:w="1809"/>
        <w:gridCol w:w="1985"/>
        <w:gridCol w:w="2410"/>
        <w:gridCol w:w="2268"/>
      </w:tblGrid>
      <w:tr w:rsidR="00E87772" w:rsidTr="00E87772">
        <w:tc>
          <w:tcPr>
            <w:tcW w:w="1809" w:type="dxa"/>
          </w:tcPr>
          <w:p w:rsidR="00E87772" w:rsidRDefault="00E87772">
            <w:r>
              <w:t>评审因素</w:t>
            </w:r>
          </w:p>
        </w:tc>
        <w:tc>
          <w:tcPr>
            <w:tcW w:w="1985" w:type="dxa"/>
          </w:tcPr>
          <w:p w:rsidR="00E87772" w:rsidRDefault="00E87772">
            <w:r>
              <w:t>评审内容</w:t>
            </w:r>
          </w:p>
        </w:tc>
        <w:tc>
          <w:tcPr>
            <w:tcW w:w="2410" w:type="dxa"/>
          </w:tcPr>
          <w:p w:rsidR="00E87772" w:rsidRDefault="00E87772">
            <w:r>
              <w:t>评分标准</w:t>
            </w:r>
          </w:p>
        </w:tc>
        <w:tc>
          <w:tcPr>
            <w:tcW w:w="2268" w:type="dxa"/>
          </w:tcPr>
          <w:p w:rsidR="00E87772" w:rsidRDefault="00E87772">
            <w:r>
              <w:t>分值</w:t>
            </w:r>
          </w:p>
        </w:tc>
      </w:tr>
      <w:tr w:rsidR="00E87772" w:rsidTr="00DC7556">
        <w:trPr>
          <w:trHeight w:val="3863"/>
        </w:trPr>
        <w:tc>
          <w:tcPr>
            <w:tcW w:w="1809" w:type="dxa"/>
          </w:tcPr>
          <w:p w:rsidR="005C2E45" w:rsidRDefault="005C2E45" w:rsidP="005C2E45">
            <w:pPr>
              <w:jc w:val="center"/>
            </w:pPr>
          </w:p>
          <w:p w:rsidR="005C2E45" w:rsidRDefault="005C2E45" w:rsidP="005C2E45">
            <w:pPr>
              <w:jc w:val="center"/>
            </w:pPr>
          </w:p>
          <w:p w:rsidR="005C2E45" w:rsidRDefault="005C2E45" w:rsidP="005C2E45">
            <w:pPr>
              <w:jc w:val="center"/>
            </w:pPr>
          </w:p>
          <w:p w:rsidR="005C2E45" w:rsidRDefault="005C2E45" w:rsidP="005C2E45">
            <w:pPr>
              <w:jc w:val="center"/>
            </w:pPr>
          </w:p>
          <w:p w:rsidR="005C2E45" w:rsidRDefault="005C2E45" w:rsidP="005C2E45">
            <w:pPr>
              <w:jc w:val="center"/>
            </w:pPr>
          </w:p>
          <w:p w:rsidR="005C2E45" w:rsidRDefault="005C2E45" w:rsidP="005C2E45">
            <w:pPr>
              <w:jc w:val="center"/>
            </w:pPr>
          </w:p>
          <w:p w:rsidR="00E87772" w:rsidRDefault="00E87772" w:rsidP="005C2E45">
            <w:pPr>
              <w:jc w:val="center"/>
            </w:pPr>
            <w:r>
              <w:t>报价部分</w:t>
            </w:r>
          </w:p>
        </w:tc>
        <w:tc>
          <w:tcPr>
            <w:tcW w:w="1985" w:type="dxa"/>
          </w:tcPr>
          <w:p w:rsidR="005C2E45" w:rsidRDefault="005C2E45" w:rsidP="005C2E45">
            <w:pPr>
              <w:jc w:val="center"/>
            </w:pPr>
          </w:p>
          <w:p w:rsidR="005C2E45" w:rsidRDefault="005C2E45" w:rsidP="005C2E45">
            <w:pPr>
              <w:jc w:val="center"/>
            </w:pPr>
          </w:p>
          <w:p w:rsidR="005C2E45" w:rsidRDefault="005C2E45" w:rsidP="005C2E45">
            <w:pPr>
              <w:jc w:val="center"/>
            </w:pPr>
          </w:p>
          <w:p w:rsidR="005C2E45" w:rsidRDefault="005C2E45" w:rsidP="005C2E45">
            <w:pPr>
              <w:jc w:val="center"/>
            </w:pPr>
          </w:p>
          <w:p w:rsidR="005C2E45" w:rsidRDefault="005C2E45" w:rsidP="005C2E45">
            <w:pPr>
              <w:jc w:val="center"/>
            </w:pPr>
          </w:p>
          <w:p w:rsidR="005C2E45" w:rsidRDefault="005C2E45" w:rsidP="005C2E45">
            <w:pPr>
              <w:jc w:val="center"/>
            </w:pPr>
          </w:p>
          <w:p w:rsidR="00E87772" w:rsidRDefault="00E87772" w:rsidP="005C2E45">
            <w:pPr>
              <w:jc w:val="center"/>
            </w:pPr>
            <w:r>
              <w:t>报价</w:t>
            </w:r>
          </w:p>
        </w:tc>
        <w:tc>
          <w:tcPr>
            <w:tcW w:w="2410" w:type="dxa"/>
          </w:tcPr>
          <w:p w:rsidR="00E87772" w:rsidRPr="00DC7556" w:rsidRDefault="00E87772" w:rsidP="00DC7556">
            <w:pPr>
              <w:autoSpaceDE w:val="0"/>
              <w:autoSpaceDN w:val="0"/>
              <w:adjustRightInd w:val="0"/>
              <w:rPr>
                <w:rFonts w:ascii="宋体" w:hAnsi="宋体" w:cs="宋体"/>
                <w:color w:val="000000" w:themeColor="text1"/>
                <w:kern w:val="0"/>
                <w:sz w:val="18"/>
                <w:szCs w:val="18"/>
              </w:rPr>
            </w:pPr>
            <w:bookmarkStart w:id="0" w:name="OLE_LINK5"/>
            <w:r w:rsidRPr="00DC7556">
              <w:rPr>
                <w:rFonts w:ascii="宋体" w:hAnsi="宋体" w:cs="宋体" w:hint="eastAsia"/>
                <w:color w:val="000000" w:themeColor="text1"/>
                <w:kern w:val="0"/>
                <w:sz w:val="18"/>
                <w:szCs w:val="18"/>
              </w:rPr>
              <w:t>综合评分法中的价格分统一采用低价优先法计算，即满足招标文件要求且最后报价经价格折扣调整后最低的供应商的价格为招标基准价，其价格分为满分。其他供应商的价格分统一按照下列公式计算：</w:t>
            </w:r>
          </w:p>
          <w:p w:rsidR="00E87772" w:rsidRPr="00DC7556" w:rsidRDefault="00E87772" w:rsidP="00DC7556">
            <w:pPr>
              <w:autoSpaceDE w:val="0"/>
              <w:autoSpaceDN w:val="0"/>
              <w:adjustRightInd w:val="0"/>
              <w:rPr>
                <w:rFonts w:ascii="宋体" w:hAnsi="宋体" w:cs="宋体"/>
                <w:color w:val="000000" w:themeColor="text1"/>
                <w:kern w:val="0"/>
                <w:sz w:val="18"/>
                <w:szCs w:val="18"/>
              </w:rPr>
            </w:pPr>
            <w:r w:rsidRPr="00DC7556">
              <w:rPr>
                <w:rFonts w:ascii="宋体" w:hAnsi="宋体" w:cs="宋体" w:hint="eastAsia"/>
                <w:color w:val="000000" w:themeColor="text1"/>
                <w:kern w:val="0"/>
                <w:sz w:val="18"/>
                <w:szCs w:val="18"/>
              </w:rPr>
              <w:t>最后招标报价得分=（招标基准价/最后招标评审价）×70%×100</w:t>
            </w:r>
          </w:p>
          <w:p w:rsidR="00E87772" w:rsidRDefault="00E87772" w:rsidP="00E87772">
            <w:r w:rsidRPr="00DC7556">
              <w:rPr>
                <w:rFonts w:ascii="宋体" w:hAnsi="宋体" w:cs="宋体" w:hint="eastAsia"/>
                <w:color w:val="000000" w:themeColor="text1"/>
                <w:kern w:val="0"/>
                <w:sz w:val="18"/>
                <w:szCs w:val="18"/>
              </w:rPr>
              <w:t>注：价格分计算保留小数点后二位。</w:t>
            </w:r>
            <w:bookmarkEnd w:id="0"/>
          </w:p>
        </w:tc>
        <w:tc>
          <w:tcPr>
            <w:tcW w:w="2268" w:type="dxa"/>
          </w:tcPr>
          <w:p w:rsidR="005C2E45" w:rsidRDefault="005C2E45"/>
          <w:p w:rsidR="005C2E45" w:rsidRDefault="005C2E45"/>
          <w:p w:rsidR="005C2E45" w:rsidRDefault="005C2E45"/>
          <w:p w:rsidR="005C2E45" w:rsidRDefault="005C2E45"/>
          <w:p w:rsidR="005C2E45" w:rsidRDefault="005C2E45"/>
          <w:p w:rsidR="005C2E45" w:rsidRDefault="005C2E45"/>
          <w:p w:rsidR="00E87772" w:rsidRDefault="005C2E45" w:rsidP="005C2E45">
            <w:pPr>
              <w:jc w:val="center"/>
            </w:pPr>
            <w:r>
              <w:rPr>
                <w:rFonts w:hint="eastAsia"/>
              </w:rPr>
              <w:t>7</w:t>
            </w:r>
            <w:r w:rsidR="00E87772">
              <w:rPr>
                <w:rFonts w:hint="eastAsia"/>
              </w:rPr>
              <w:t>0</w:t>
            </w:r>
            <w:r w:rsidR="00E87772">
              <w:rPr>
                <w:rFonts w:hint="eastAsia"/>
              </w:rPr>
              <w:t>分</w:t>
            </w:r>
          </w:p>
        </w:tc>
      </w:tr>
      <w:tr w:rsidR="005C2E45" w:rsidTr="00A03E66">
        <w:trPr>
          <w:trHeight w:val="2808"/>
        </w:trPr>
        <w:tc>
          <w:tcPr>
            <w:tcW w:w="1809" w:type="dxa"/>
            <w:vMerge w:val="restart"/>
          </w:tcPr>
          <w:p w:rsidR="005C2E45" w:rsidRDefault="005C2E45" w:rsidP="005C2E45">
            <w:pPr>
              <w:jc w:val="center"/>
            </w:pPr>
          </w:p>
          <w:p w:rsidR="005C2E45" w:rsidRDefault="005C2E45" w:rsidP="005C2E45">
            <w:pPr>
              <w:jc w:val="center"/>
            </w:pPr>
          </w:p>
          <w:p w:rsidR="005C2E45" w:rsidRDefault="005C2E45" w:rsidP="005C2E45">
            <w:pPr>
              <w:jc w:val="center"/>
            </w:pPr>
          </w:p>
          <w:p w:rsidR="005C2E45" w:rsidRDefault="005C2E45" w:rsidP="005C2E45">
            <w:pPr>
              <w:jc w:val="center"/>
            </w:pPr>
          </w:p>
          <w:p w:rsidR="005C2E45" w:rsidRDefault="005C2E45" w:rsidP="005C2E45">
            <w:pPr>
              <w:jc w:val="center"/>
            </w:pPr>
          </w:p>
          <w:p w:rsidR="005C2E45" w:rsidRDefault="005C2E45" w:rsidP="005C2E45">
            <w:pPr>
              <w:jc w:val="center"/>
            </w:pPr>
          </w:p>
          <w:p w:rsidR="005C2E45" w:rsidRDefault="005C2E45" w:rsidP="005C2E45"/>
          <w:p w:rsidR="005C2E45" w:rsidRDefault="005C2E45" w:rsidP="005C2E45">
            <w:pPr>
              <w:jc w:val="center"/>
            </w:pPr>
            <w:r>
              <w:t>技术部分</w:t>
            </w:r>
          </w:p>
          <w:p w:rsidR="005C2E45" w:rsidRDefault="005C2E45" w:rsidP="005C2E45">
            <w:pPr>
              <w:jc w:val="center"/>
            </w:pPr>
          </w:p>
          <w:p w:rsidR="005C2E45" w:rsidRDefault="005C2E45" w:rsidP="005C2E45">
            <w:pPr>
              <w:jc w:val="center"/>
            </w:pPr>
          </w:p>
        </w:tc>
        <w:tc>
          <w:tcPr>
            <w:tcW w:w="1985" w:type="dxa"/>
          </w:tcPr>
          <w:p w:rsidR="005C2E45" w:rsidRDefault="005C2E45" w:rsidP="005C2E45">
            <w:pPr>
              <w:jc w:val="center"/>
              <w:rPr>
                <w:szCs w:val="21"/>
              </w:rPr>
            </w:pPr>
          </w:p>
          <w:p w:rsidR="005C2E45" w:rsidRDefault="005C2E45" w:rsidP="005C2E45">
            <w:pPr>
              <w:jc w:val="center"/>
              <w:rPr>
                <w:szCs w:val="21"/>
              </w:rPr>
            </w:pPr>
          </w:p>
          <w:p w:rsidR="005C2E45" w:rsidRDefault="005C2E45" w:rsidP="005C2E45">
            <w:pPr>
              <w:jc w:val="center"/>
              <w:rPr>
                <w:szCs w:val="21"/>
              </w:rPr>
            </w:pPr>
          </w:p>
          <w:p w:rsidR="005C2E45" w:rsidRDefault="005C2E45" w:rsidP="005C2E45">
            <w:pPr>
              <w:jc w:val="center"/>
              <w:rPr>
                <w:szCs w:val="21"/>
              </w:rPr>
            </w:pPr>
          </w:p>
          <w:p w:rsidR="005C2E45" w:rsidRDefault="005C2E45" w:rsidP="005C2E45">
            <w:pPr>
              <w:jc w:val="center"/>
            </w:pPr>
            <w:r>
              <w:rPr>
                <w:rFonts w:hint="eastAsia"/>
                <w:szCs w:val="21"/>
              </w:rPr>
              <w:t>企业业绩</w:t>
            </w:r>
          </w:p>
        </w:tc>
        <w:tc>
          <w:tcPr>
            <w:tcW w:w="2410" w:type="dxa"/>
          </w:tcPr>
          <w:p w:rsidR="005C2E45" w:rsidRDefault="005C2E45" w:rsidP="004A77F2">
            <w:r w:rsidRPr="00E87772">
              <w:rPr>
                <w:rFonts w:hint="eastAsia"/>
              </w:rPr>
              <w:t>近</w:t>
            </w:r>
            <w:r w:rsidRPr="00E87772">
              <w:rPr>
                <w:rFonts w:hint="eastAsia"/>
              </w:rPr>
              <w:t>3</w:t>
            </w:r>
            <w:r w:rsidRPr="00E87772">
              <w:rPr>
                <w:rFonts w:hint="eastAsia"/>
              </w:rPr>
              <w:t>年内的竞标单位完成过类似资产处置业务</w:t>
            </w:r>
            <w:r>
              <w:rPr>
                <w:rFonts w:hint="eastAsia"/>
              </w:rPr>
              <w:t>的</w:t>
            </w:r>
            <w:r w:rsidRPr="00E87772">
              <w:rPr>
                <w:rFonts w:hint="eastAsia"/>
              </w:rPr>
              <w:t>证明材料（提供相关合同</w:t>
            </w:r>
            <w:r>
              <w:rPr>
                <w:rFonts w:hint="eastAsia"/>
              </w:rPr>
              <w:t>复印件</w:t>
            </w:r>
            <w:r w:rsidRPr="00E87772">
              <w:rPr>
                <w:rFonts w:hint="eastAsia"/>
              </w:rPr>
              <w:t>）</w:t>
            </w:r>
            <w:r>
              <w:rPr>
                <w:rFonts w:hint="eastAsia"/>
              </w:rPr>
              <w:t>，每提供一个合同得</w:t>
            </w:r>
            <w:r>
              <w:rPr>
                <w:rFonts w:hint="eastAsia"/>
              </w:rPr>
              <w:t>2</w:t>
            </w:r>
            <w:r>
              <w:rPr>
                <w:rFonts w:hint="eastAsia"/>
              </w:rPr>
              <w:t>分，最高得</w:t>
            </w:r>
            <w:r>
              <w:rPr>
                <w:rFonts w:hint="eastAsia"/>
              </w:rPr>
              <w:t>10</w:t>
            </w:r>
            <w:r>
              <w:rPr>
                <w:rFonts w:hint="eastAsia"/>
              </w:rPr>
              <w:t>分</w:t>
            </w:r>
            <w:bookmarkStart w:id="1" w:name="_GoBack"/>
            <w:bookmarkEnd w:id="1"/>
          </w:p>
        </w:tc>
        <w:tc>
          <w:tcPr>
            <w:tcW w:w="2268" w:type="dxa"/>
          </w:tcPr>
          <w:p w:rsidR="005C2E45" w:rsidRDefault="005C2E45"/>
          <w:p w:rsidR="005C2E45" w:rsidRDefault="005C2E45"/>
          <w:p w:rsidR="005C2E45" w:rsidRDefault="005C2E45"/>
          <w:p w:rsidR="005C2E45" w:rsidRDefault="005C2E45" w:rsidP="005C2E45">
            <w:pPr>
              <w:jc w:val="center"/>
            </w:pPr>
          </w:p>
          <w:p w:rsidR="005C2E45" w:rsidRDefault="005C2E45" w:rsidP="005C2E45">
            <w:pPr>
              <w:jc w:val="center"/>
            </w:pPr>
            <w:r w:rsidRPr="00E87772">
              <w:rPr>
                <w:rFonts w:hint="eastAsia"/>
              </w:rPr>
              <w:t>10</w:t>
            </w:r>
            <w:r w:rsidRPr="00E87772">
              <w:rPr>
                <w:rFonts w:hint="eastAsia"/>
              </w:rPr>
              <w:t>分</w:t>
            </w:r>
          </w:p>
          <w:p w:rsidR="005C2E45" w:rsidRDefault="005C2E45" w:rsidP="00A03E66"/>
        </w:tc>
      </w:tr>
      <w:tr w:rsidR="005C2E45" w:rsidTr="00DF6169">
        <w:tc>
          <w:tcPr>
            <w:tcW w:w="1809" w:type="dxa"/>
            <w:vMerge/>
          </w:tcPr>
          <w:p w:rsidR="005C2E45" w:rsidRDefault="005C2E45" w:rsidP="005C2E45">
            <w:pPr>
              <w:jc w:val="center"/>
            </w:pPr>
          </w:p>
        </w:tc>
        <w:tc>
          <w:tcPr>
            <w:tcW w:w="1985" w:type="dxa"/>
          </w:tcPr>
          <w:p w:rsidR="005C2E45" w:rsidRDefault="005C2E45" w:rsidP="005C2E45">
            <w:pPr>
              <w:jc w:val="center"/>
            </w:pPr>
          </w:p>
          <w:p w:rsidR="005C2E45" w:rsidRDefault="005C2E45" w:rsidP="005C2E45">
            <w:pPr>
              <w:jc w:val="center"/>
            </w:pPr>
          </w:p>
          <w:p w:rsidR="005C2E45" w:rsidRDefault="005C2E45" w:rsidP="005C2E45">
            <w:pPr>
              <w:jc w:val="center"/>
            </w:pPr>
            <w:r>
              <w:t>服务计划</w:t>
            </w:r>
          </w:p>
        </w:tc>
        <w:tc>
          <w:tcPr>
            <w:tcW w:w="2410" w:type="dxa"/>
          </w:tcPr>
          <w:p w:rsidR="005C2E45" w:rsidRDefault="005C2E45" w:rsidP="00DF6169">
            <w:r w:rsidRPr="00555A0A">
              <w:rPr>
                <w:rFonts w:ascii="宋体" w:hAnsi="宋体" w:cs="宋体" w:hint="eastAsia"/>
                <w:color w:val="000000" w:themeColor="text1"/>
                <w:kern w:val="0"/>
                <w:sz w:val="18"/>
                <w:szCs w:val="18"/>
              </w:rPr>
              <w:t>提供</w:t>
            </w:r>
            <w:r w:rsidR="00D82640">
              <w:rPr>
                <w:rFonts w:ascii="宋体" w:hAnsi="宋体" w:cs="宋体" w:hint="eastAsia"/>
                <w:color w:val="000000" w:themeColor="text1"/>
                <w:kern w:val="0"/>
                <w:sz w:val="18"/>
                <w:szCs w:val="18"/>
              </w:rPr>
              <w:t>处置搬场</w:t>
            </w:r>
            <w:r w:rsidRPr="00555A0A">
              <w:rPr>
                <w:rFonts w:ascii="宋体" w:hAnsi="宋体" w:cs="宋体" w:hint="eastAsia"/>
                <w:color w:val="000000" w:themeColor="text1"/>
                <w:kern w:val="0"/>
                <w:sz w:val="18"/>
                <w:szCs w:val="18"/>
              </w:rPr>
              <w:t>计</w:t>
            </w:r>
            <w:r w:rsidR="00D82640">
              <w:rPr>
                <w:rFonts w:ascii="宋体" w:hAnsi="宋体" w:cs="宋体" w:hint="eastAsia"/>
                <w:color w:val="000000" w:themeColor="text1"/>
                <w:kern w:val="0"/>
                <w:sz w:val="18"/>
                <w:szCs w:val="18"/>
              </w:rPr>
              <w:t>划（搬运现场周边的保护，搬场人员现场操作的规范，文明施工，风险</w:t>
            </w:r>
            <w:r w:rsidRPr="00555A0A">
              <w:rPr>
                <w:rFonts w:ascii="宋体" w:hAnsi="宋体" w:cs="宋体" w:hint="eastAsia"/>
                <w:color w:val="000000" w:themeColor="text1"/>
                <w:kern w:val="0"/>
                <w:sz w:val="18"/>
                <w:szCs w:val="18"/>
              </w:rPr>
              <w:t>预估，应急预案）</w:t>
            </w:r>
            <w:r>
              <w:rPr>
                <w:rFonts w:ascii="宋体" w:hAnsi="宋体" w:cs="宋体" w:hint="eastAsia"/>
                <w:color w:val="000000" w:themeColor="text1"/>
                <w:kern w:val="0"/>
                <w:sz w:val="18"/>
                <w:szCs w:val="18"/>
              </w:rPr>
              <w:t>，根据其优劣程度得0-10分</w:t>
            </w:r>
          </w:p>
        </w:tc>
        <w:tc>
          <w:tcPr>
            <w:tcW w:w="2268" w:type="dxa"/>
          </w:tcPr>
          <w:p w:rsidR="005C2E45" w:rsidRDefault="005C2E45" w:rsidP="00DF6169"/>
          <w:p w:rsidR="005C2E45" w:rsidRDefault="005C2E45" w:rsidP="00DF6169"/>
          <w:p w:rsidR="005C2E45" w:rsidRDefault="005C2E45" w:rsidP="005C2E45">
            <w:pPr>
              <w:jc w:val="center"/>
            </w:pPr>
            <w:r>
              <w:rPr>
                <w:rFonts w:hint="eastAsia"/>
              </w:rPr>
              <w:t>10</w:t>
            </w:r>
            <w:r>
              <w:rPr>
                <w:rFonts w:hint="eastAsia"/>
              </w:rPr>
              <w:t>分</w:t>
            </w:r>
          </w:p>
        </w:tc>
      </w:tr>
      <w:tr w:rsidR="005C2E45" w:rsidTr="00DF6169">
        <w:tc>
          <w:tcPr>
            <w:tcW w:w="1809" w:type="dxa"/>
            <w:vMerge/>
          </w:tcPr>
          <w:p w:rsidR="005C2E45" w:rsidRDefault="005C2E45" w:rsidP="005C2E45">
            <w:pPr>
              <w:jc w:val="center"/>
            </w:pPr>
          </w:p>
        </w:tc>
        <w:tc>
          <w:tcPr>
            <w:tcW w:w="1985" w:type="dxa"/>
            <w:vMerge w:val="restart"/>
          </w:tcPr>
          <w:p w:rsidR="005C2E45" w:rsidRDefault="005C2E45" w:rsidP="005C2E45">
            <w:pPr>
              <w:jc w:val="center"/>
            </w:pPr>
          </w:p>
          <w:p w:rsidR="005C2E45" w:rsidRDefault="005C2E45" w:rsidP="005C2E45">
            <w:pPr>
              <w:jc w:val="center"/>
            </w:pPr>
          </w:p>
          <w:p w:rsidR="005C2E45" w:rsidRDefault="005C2E45" w:rsidP="005C2E45">
            <w:pPr>
              <w:jc w:val="center"/>
            </w:pPr>
            <w:r>
              <w:t>财务纳税记录</w:t>
            </w:r>
          </w:p>
        </w:tc>
        <w:tc>
          <w:tcPr>
            <w:tcW w:w="2410" w:type="dxa"/>
          </w:tcPr>
          <w:p w:rsidR="005C2E45" w:rsidRDefault="00D82640" w:rsidP="00DF6169">
            <w:r>
              <w:rPr>
                <w:rFonts w:ascii="宋体" w:hAnsi="宋体" w:cs="宋体" w:hint="eastAsia"/>
                <w:color w:val="000000" w:themeColor="text1"/>
                <w:kern w:val="0"/>
                <w:sz w:val="18"/>
                <w:szCs w:val="18"/>
              </w:rPr>
              <w:t>上一年度良好的商业信誉和健全的财务会计制度的</w:t>
            </w:r>
            <w:r w:rsidR="005C2E45" w:rsidRPr="00555A0A">
              <w:rPr>
                <w:rFonts w:ascii="宋体" w:hAnsi="宋体" w:cs="宋体" w:hint="eastAsia"/>
                <w:color w:val="000000" w:themeColor="text1"/>
                <w:kern w:val="0"/>
                <w:sz w:val="18"/>
                <w:szCs w:val="18"/>
              </w:rPr>
              <w:t>证明</w:t>
            </w:r>
          </w:p>
        </w:tc>
        <w:tc>
          <w:tcPr>
            <w:tcW w:w="2268" w:type="dxa"/>
          </w:tcPr>
          <w:p w:rsidR="00D82640" w:rsidRDefault="00D82640" w:rsidP="00D82640"/>
          <w:p w:rsidR="005C2E45" w:rsidRDefault="005C2E45" w:rsidP="00D82640">
            <w:pPr>
              <w:jc w:val="center"/>
            </w:pPr>
            <w:r>
              <w:rPr>
                <w:rFonts w:hint="eastAsia"/>
              </w:rPr>
              <w:t>5</w:t>
            </w:r>
            <w:r>
              <w:rPr>
                <w:rFonts w:hint="eastAsia"/>
              </w:rPr>
              <w:t>分</w:t>
            </w:r>
          </w:p>
        </w:tc>
      </w:tr>
      <w:tr w:rsidR="005C2E45" w:rsidTr="00DF6169">
        <w:tc>
          <w:tcPr>
            <w:tcW w:w="1809" w:type="dxa"/>
            <w:vMerge/>
          </w:tcPr>
          <w:p w:rsidR="005C2E45" w:rsidRDefault="005C2E45" w:rsidP="00DF6169"/>
        </w:tc>
        <w:tc>
          <w:tcPr>
            <w:tcW w:w="1985" w:type="dxa"/>
            <w:vMerge/>
          </w:tcPr>
          <w:p w:rsidR="005C2E45" w:rsidRDefault="005C2E45" w:rsidP="00DF6169"/>
        </w:tc>
        <w:tc>
          <w:tcPr>
            <w:tcW w:w="2410" w:type="dxa"/>
          </w:tcPr>
          <w:p w:rsidR="005C2E45" w:rsidRPr="00555A0A" w:rsidRDefault="005C2E45" w:rsidP="00D82640">
            <w:pPr>
              <w:rPr>
                <w:szCs w:val="21"/>
              </w:rPr>
            </w:pPr>
            <w:r w:rsidRPr="00555A0A">
              <w:rPr>
                <w:rFonts w:hint="eastAsia"/>
                <w:szCs w:val="21"/>
              </w:rPr>
              <w:t>近半年来有依法缴纳税收和社会保障资金的记录</w:t>
            </w:r>
            <w:r>
              <w:rPr>
                <w:rFonts w:hint="eastAsia"/>
                <w:szCs w:val="21"/>
              </w:rPr>
              <w:t>证明</w:t>
            </w:r>
          </w:p>
        </w:tc>
        <w:tc>
          <w:tcPr>
            <w:tcW w:w="2268" w:type="dxa"/>
          </w:tcPr>
          <w:p w:rsidR="005C2E45" w:rsidRDefault="005C2E45" w:rsidP="005C2E45">
            <w:pPr>
              <w:jc w:val="center"/>
            </w:pPr>
          </w:p>
          <w:p w:rsidR="005C2E45" w:rsidRDefault="005C2E45" w:rsidP="005C2E45">
            <w:pPr>
              <w:jc w:val="center"/>
            </w:pPr>
            <w:r>
              <w:rPr>
                <w:rFonts w:hint="eastAsia"/>
              </w:rPr>
              <w:t>5</w:t>
            </w:r>
            <w:r>
              <w:rPr>
                <w:rFonts w:hint="eastAsia"/>
              </w:rPr>
              <w:t>分</w:t>
            </w:r>
          </w:p>
        </w:tc>
      </w:tr>
    </w:tbl>
    <w:p w:rsidR="00555A0A" w:rsidRDefault="00555A0A" w:rsidP="00555A0A">
      <w:pPr>
        <w:spacing w:line="600" w:lineRule="exact"/>
        <w:outlineLvl w:val="0"/>
        <w:rPr>
          <w:rFonts w:ascii="宋体" w:hAnsi="宋体" w:cs="宋体"/>
          <w:b/>
          <w:color w:val="000000"/>
          <w:sz w:val="24"/>
        </w:rPr>
      </w:pPr>
      <w:r>
        <w:rPr>
          <w:rFonts w:ascii="宋体" w:hAnsi="宋体" w:cs="宋体" w:hint="eastAsia"/>
          <w:b/>
          <w:color w:val="000000"/>
          <w:sz w:val="24"/>
        </w:rPr>
        <w:t>注：以上内容，缺项按0分计。</w:t>
      </w:r>
    </w:p>
    <w:p w:rsidR="00555A0A" w:rsidRPr="00D82640" w:rsidRDefault="00555A0A" w:rsidP="00D82640">
      <w:pPr>
        <w:spacing w:line="600" w:lineRule="exact"/>
        <w:outlineLvl w:val="0"/>
        <w:rPr>
          <w:rFonts w:ascii="宋体" w:hAnsi="宋体" w:cs="宋体"/>
          <w:color w:val="000000"/>
          <w:sz w:val="24"/>
        </w:rPr>
      </w:pPr>
      <w:r w:rsidRPr="00D82640">
        <w:rPr>
          <w:rFonts w:ascii="宋体" w:hAnsi="宋体" w:cs="宋体" w:hint="eastAsia"/>
          <w:color w:val="000000"/>
          <w:sz w:val="24"/>
        </w:rPr>
        <w:t>1.评标方法</w:t>
      </w:r>
    </w:p>
    <w:p w:rsidR="00E27359" w:rsidRDefault="00555A0A" w:rsidP="00E27359">
      <w:pPr>
        <w:spacing w:line="600" w:lineRule="exact"/>
        <w:ind w:leftChars="114" w:left="239" w:firstLineChars="100" w:firstLine="240"/>
        <w:rPr>
          <w:rFonts w:asciiTheme="minorEastAsia" w:eastAsiaTheme="minorEastAsia" w:hAnsiTheme="minorEastAsia" w:cs="宋体"/>
          <w:color w:val="000000"/>
          <w:sz w:val="24"/>
        </w:rPr>
      </w:pPr>
      <w:r w:rsidRPr="00DC7556">
        <w:rPr>
          <w:rFonts w:ascii="宋体" w:hAnsi="宋体" w:cs="宋体" w:hint="eastAsia"/>
          <w:color w:val="000000"/>
          <w:sz w:val="24"/>
        </w:rPr>
        <w:t>本次评标采用综合评分法。</w:t>
      </w:r>
      <w:r w:rsidR="00E27359">
        <w:rPr>
          <w:rFonts w:ascii="宋体" w:hAnsi="宋体" w:cs="宋体" w:hint="eastAsia"/>
          <w:color w:val="000000"/>
          <w:sz w:val="24"/>
        </w:rPr>
        <w:t>评标小组对满足公开招标文件实质性要求的投标文件，按照评分标准进行打分，并按得分由高到低顺序排序</w:t>
      </w:r>
      <w:r w:rsidR="00E27359">
        <w:rPr>
          <w:rFonts w:ascii="宋体" w:hAnsi="宋体" w:cs="宋体" w:hint="eastAsia"/>
          <w:sz w:val="24"/>
        </w:rPr>
        <w:t>；</w:t>
      </w:r>
      <w:r w:rsidR="00E27359">
        <w:rPr>
          <w:rFonts w:asciiTheme="minorEastAsia" w:eastAsiaTheme="minorEastAsia" w:hAnsiTheme="minorEastAsia" w:cs="宋体" w:hint="eastAsia"/>
          <w:sz w:val="24"/>
        </w:rPr>
        <w:t>得分相同的，按</w:t>
      </w:r>
      <w:r w:rsidR="00E27359">
        <w:rPr>
          <w:rFonts w:asciiTheme="minorEastAsia" w:eastAsiaTheme="minorEastAsia" w:hAnsiTheme="minorEastAsia" w:cs="宋体" w:hint="eastAsia"/>
          <w:sz w:val="24"/>
        </w:rPr>
        <w:lastRenderedPageBreak/>
        <w:t>投标报价由低到高顺序排列；得分且投标报</w:t>
      </w:r>
      <w:r w:rsidR="00E27359">
        <w:rPr>
          <w:rFonts w:asciiTheme="minorEastAsia" w:eastAsiaTheme="minorEastAsia" w:hAnsiTheme="minorEastAsia" w:cs="宋体" w:hint="eastAsia"/>
          <w:color w:val="000000"/>
          <w:sz w:val="24"/>
        </w:rPr>
        <w:t>价相同的并列，按类似业务证明得分由高到低顺序排列。</w:t>
      </w:r>
    </w:p>
    <w:p w:rsidR="00555A0A" w:rsidRPr="00DC7556" w:rsidRDefault="00555A0A" w:rsidP="00E27359">
      <w:pPr>
        <w:spacing w:line="600" w:lineRule="exact"/>
        <w:rPr>
          <w:rFonts w:asciiTheme="minorEastAsia" w:eastAsiaTheme="minorEastAsia" w:hAnsiTheme="minorEastAsia" w:cs="宋体"/>
          <w:bCs/>
          <w:color w:val="000000"/>
          <w:sz w:val="24"/>
        </w:rPr>
      </w:pPr>
      <w:r w:rsidRPr="00DC7556">
        <w:rPr>
          <w:rFonts w:asciiTheme="minorEastAsia" w:eastAsiaTheme="minorEastAsia" w:hAnsiTheme="minorEastAsia" w:cs="宋体" w:hint="eastAsia"/>
          <w:color w:val="000000"/>
          <w:sz w:val="24"/>
        </w:rPr>
        <w:t>2.评标程序</w:t>
      </w:r>
    </w:p>
    <w:p w:rsidR="00E27359" w:rsidRDefault="00E27359" w:rsidP="00E27359">
      <w:pPr>
        <w:spacing w:line="600" w:lineRule="exact"/>
        <w:ind w:leftChars="114" w:left="239"/>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2.1评标小组依据评审标准对投标文件进行符合性评审，未通过符合性评审的，不再进行详细评审。</w:t>
      </w:r>
    </w:p>
    <w:p w:rsidR="00E27359" w:rsidRDefault="00E27359" w:rsidP="00E27359">
      <w:pPr>
        <w:spacing w:line="600" w:lineRule="exact"/>
        <w:ind w:leftChars="114" w:left="239"/>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2.2投标报价有算术错误的，评标小组按以下原则对投标报价进行修正，修正的价格经供应商书面确认后具有约束力。投标人不接受修正价格的，其投标作无效响应处理。</w:t>
      </w:r>
    </w:p>
    <w:p w:rsidR="00E27359" w:rsidRDefault="00E27359" w:rsidP="00E27359">
      <w:pPr>
        <w:spacing w:line="600" w:lineRule="exact"/>
        <w:ind w:firstLineChars="200" w:firstLine="480"/>
        <w:rPr>
          <w:rFonts w:ascii="宋体" w:hAnsi="宋体" w:cs="宋体"/>
          <w:color w:val="000000"/>
          <w:sz w:val="24"/>
        </w:rPr>
      </w:pPr>
      <w:r>
        <w:rPr>
          <w:rFonts w:ascii="宋体" w:hAnsi="宋体" w:cs="宋体" w:hint="eastAsia"/>
          <w:color w:val="000000"/>
          <w:sz w:val="24"/>
        </w:rPr>
        <w:t>（1）招标文件中的大写金额与小写金额不一致的，以大写金额为准；</w:t>
      </w:r>
    </w:p>
    <w:p w:rsidR="00E27359" w:rsidRDefault="00E27359" w:rsidP="00E27359">
      <w:pPr>
        <w:spacing w:line="600" w:lineRule="exact"/>
        <w:ind w:leftChars="114" w:left="239" w:firstLineChars="100" w:firstLine="240"/>
        <w:rPr>
          <w:rFonts w:ascii="宋体" w:hAnsi="宋体" w:cs="宋体"/>
          <w:color w:val="000000"/>
          <w:sz w:val="24"/>
        </w:rPr>
      </w:pPr>
      <w:r>
        <w:rPr>
          <w:rFonts w:ascii="宋体" w:hAnsi="宋体" w:cs="宋体" w:hint="eastAsia"/>
          <w:color w:val="000000"/>
          <w:sz w:val="24"/>
        </w:rPr>
        <w:t>（2）总价金额与依据单价计算出的结果不一致的，以单价金额为准修正总价，如果单价有明显的小数点位置差错，应以标出的合价为准，同时对单价予以修正；</w:t>
      </w:r>
    </w:p>
    <w:p w:rsidR="00E27359" w:rsidRDefault="00E27359" w:rsidP="00E27359">
      <w:pPr>
        <w:spacing w:line="600" w:lineRule="exact"/>
        <w:ind w:leftChars="114" w:left="239" w:firstLineChars="100" w:firstLine="240"/>
        <w:rPr>
          <w:rFonts w:ascii="宋体" w:hAnsi="宋体" w:cs="宋体"/>
          <w:color w:val="000000"/>
          <w:sz w:val="24"/>
        </w:rPr>
      </w:pPr>
      <w:r>
        <w:rPr>
          <w:rFonts w:ascii="宋体" w:hAnsi="宋体" w:cs="宋体" w:hint="eastAsia"/>
          <w:color w:val="000000"/>
          <w:sz w:val="24"/>
        </w:rPr>
        <w:t>（3）当各细目的合价累计不等于总价时，应以各细目合价累计数为准，修正总价。</w:t>
      </w:r>
    </w:p>
    <w:p w:rsidR="00E27359" w:rsidRDefault="00E27359" w:rsidP="00E27359">
      <w:pPr>
        <w:spacing w:line="600" w:lineRule="exact"/>
        <w:ind w:leftChars="114" w:left="239"/>
        <w:rPr>
          <w:rFonts w:ascii="宋体" w:hAnsi="宋体" w:cs="宋体"/>
          <w:color w:val="000000"/>
          <w:sz w:val="24"/>
        </w:rPr>
      </w:pPr>
      <w:r>
        <w:rPr>
          <w:rFonts w:ascii="宋体" w:hAnsi="宋体" w:cs="宋体" w:hint="eastAsia"/>
          <w:color w:val="000000"/>
          <w:sz w:val="24"/>
        </w:rPr>
        <w:t>投标人得分=报价得分+企业业绩得分+服务计划得分+财务纳税记录得分</w:t>
      </w:r>
    </w:p>
    <w:p w:rsidR="00DC7556" w:rsidRPr="00DC7556" w:rsidRDefault="00DC7556" w:rsidP="00E27359">
      <w:pPr>
        <w:spacing w:line="600" w:lineRule="exact"/>
        <w:ind w:leftChars="114" w:left="239"/>
        <w:rPr>
          <w:rFonts w:ascii="宋体" w:hAnsi="宋体" w:cs="宋体"/>
          <w:color w:val="000000"/>
          <w:sz w:val="24"/>
        </w:rPr>
      </w:pPr>
      <w:r w:rsidRPr="00DC7556">
        <w:rPr>
          <w:rFonts w:ascii="宋体" w:hAnsi="宋体" w:cs="宋体" w:hint="eastAsia"/>
          <w:color w:val="000000"/>
          <w:sz w:val="24"/>
        </w:rPr>
        <w:t>3.评标结果</w:t>
      </w:r>
    </w:p>
    <w:p w:rsidR="00E27359" w:rsidRDefault="00E27359" w:rsidP="00E27359">
      <w:pPr>
        <w:spacing w:line="600" w:lineRule="exact"/>
        <w:ind w:leftChars="114" w:left="239" w:firstLineChars="200" w:firstLine="480"/>
        <w:rPr>
          <w:rFonts w:ascii="宋体" w:hAnsi="宋体" w:cs="宋体"/>
          <w:color w:val="000000"/>
          <w:sz w:val="24"/>
        </w:rPr>
      </w:pPr>
      <w:r>
        <w:rPr>
          <w:rFonts w:ascii="宋体" w:hAnsi="宋体" w:cs="宋体" w:hint="eastAsia"/>
          <w:color w:val="000000"/>
          <w:sz w:val="24"/>
        </w:rPr>
        <w:t>评标小组按照得分由高到低的顺序推荐中标候选人，将推荐排名第一的成交候选投标人确定为本项目成交供应商。</w:t>
      </w:r>
    </w:p>
    <w:p w:rsidR="00E87772" w:rsidRPr="00DC7556" w:rsidRDefault="00E87772">
      <w:pPr>
        <w:rPr>
          <w:rFonts w:asciiTheme="minorEastAsia" w:eastAsiaTheme="minorEastAsia" w:hAnsiTheme="minorEastAsia"/>
          <w:sz w:val="24"/>
        </w:rPr>
      </w:pPr>
    </w:p>
    <w:sectPr w:rsidR="00E87772" w:rsidRPr="00DC75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37F" w:rsidRDefault="0094237F" w:rsidP="00E87772">
      <w:r>
        <w:separator/>
      </w:r>
    </w:p>
  </w:endnote>
  <w:endnote w:type="continuationSeparator" w:id="0">
    <w:p w:rsidR="0094237F" w:rsidRDefault="0094237F" w:rsidP="00E87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37F" w:rsidRDefault="0094237F" w:rsidP="00E87772">
      <w:r>
        <w:separator/>
      </w:r>
    </w:p>
  </w:footnote>
  <w:footnote w:type="continuationSeparator" w:id="0">
    <w:p w:rsidR="0094237F" w:rsidRDefault="0094237F" w:rsidP="00E87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268"/>
    <w:rsid w:val="0024007C"/>
    <w:rsid w:val="004F738E"/>
    <w:rsid w:val="00555A0A"/>
    <w:rsid w:val="005C2E45"/>
    <w:rsid w:val="008504F9"/>
    <w:rsid w:val="0094237F"/>
    <w:rsid w:val="00B622D5"/>
    <w:rsid w:val="00BE2268"/>
    <w:rsid w:val="00D82640"/>
    <w:rsid w:val="00DC7556"/>
    <w:rsid w:val="00E27359"/>
    <w:rsid w:val="00E87772"/>
    <w:rsid w:val="00E90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7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777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87772"/>
    <w:rPr>
      <w:sz w:val="18"/>
      <w:szCs w:val="18"/>
    </w:rPr>
  </w:style>
  <w:style w:type="paragraph" w:styleId="a4">
    <w:name w:val="footer"/>
    <w:basedOn w:val="a"/>
    <w:link w:val="Char0"/>
    <w:uiPriority w:val="99"/>
    <w:unhideWhenUsed/>
    <w:rsid w:val="00E8777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87772"/>
    <w:rPr>
      <w:sz w:val="18"/>
      <w:szCs w:val="18"/>
    </w:rPr>
  </w:style>
  <w:style w:type="table" w:styleId="a5">
    <w:name w:val="Table Grid"/>
    <w:basedOn w:val="a1"/>
    <w:uiPriority w:val="59"/>
    <w:rsid w:val="00E877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5C2E45"/>
    <w:rPr>
      <w:sz w:val="18"/>
      <w:szCs w:val="18"/>
    </w:rPr>
  </w:style>
  <w:style w:type="character" w:customStyle="1" w:styleId="Char1">
    <w:name w:val="批注框文本 Char"/>
    <w:basedOn w:val="a0"/>
    <w:link w:val="a6"/>
    <w:uiPriority w:val="99"/>
    <w:semiHidden/>
    <w:rsid w:val="005C2E4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7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777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87772"/>
    <w:rPr>
      <w:sz w:val="18"/>
      <w:szCs w:val="18"/>
    </w:rPr>
  </w:style>
  <w:style w:type="paragraph" w:styleId="a4">
    <w:name w:val="footer"/>
    <w:basedOn w:val="a"/>
    <w:link w:val="Char0"/>
    <w:uiPriority w:val="99"/>
    <w:unhideWhenUsed/>
    <w:rsid w:val="00E8777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87772"/>
    <w:rPr>
      <w:sz w:val="18"/>
      <w:szCs w:val="18"/>
    </w:rPr>
  </w:style>
  <w:style w:type="table" w:styleId="a5">
    <w:name w:val="Table Grid"/>
    <w:basedOn w:val="a1"/>
    <w:uiPriority w:val="59"/>
    <w:rsid w:val="00E877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5C2E45"/>
    <w:rPr>
      <w:sz w:val="18"/>
      <w:szCs w:val="18"/>
    </w:rPr>
  </w:style>
  <w:style w:type="character" w:customStyle="1" w:styleId="Char1">
    <w:name w:val="批注框文本 Char"/>
    <w:basedOn w:val="a0"/>
    <w:link w:val="a6"/>
    <w:uiPriority w:val="99"/>
    <w:semiHidden/>
    <w:rsid w:val="005C2E4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CEMPS</dc:creator>
  <cp:keywords/>
  <dc:description/>
  <cp:lastModifiedBy>CEMPS</cp:lastModifiedBy>
  <cp:revision>4</cp:revision>
  <dcterms:created xsi:type="dcterms:W3CDTF">2025-04-14T06:21:00Z</dcterms:created>
  <dcterms:modified xsi:type="dcterms:W3CDTF">2025-04-15T02:17:00Z</dcterms:modified>
</cp:coreProperties>
</file>